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07"/>
        <w:gridCol w:w="907"/>
        <w:gridCol w:w="690"/>
        <w:gridCol w:w="615"/>
        <w:gridCol w:w="585"/>
        <w:gridCol w:w="705"/>
        <w:gridCol w:w="1293"/>
        <w:gridCol w:w="858"/>
        <w:gridCol w:w="858"/>
        <w:gridCol w:w="921"/>
        <w:gridCol w:w="645"/>
        <w:gridCol w:w="1149"/>
        <w:gridCol w:w="1516"/>
        <w:gridCol w:w="1866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河北省文化和旅游厅河北交响乐团事业单位2024年公开招聘工作人员岗位条件表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主管部门（单位）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面试人员比例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单位地址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或工作地点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河北省文化和旅游厅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河北交响乐团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中国语言文学、新闻传播学、新闻与传播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服务基层项目期满人员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河北省石家庄市西大街98号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0311-86051150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"http://www.hebeiso.com/"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www.hebeiso.com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jg4YWRkODk3YmU3YzQ1NjcyYTZlNDI3MzUzZTMifQ=="/>
  </w:docVars>
  <w:rsids>
    <w:rsidRoot w:val="1B2B5D8C"/>
    <w:rsid w:val="1B2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2024-03-22T08:43:00Z</dcterms:created>
  <dc:creator>張國強</dc:creator>
  <cp:lastModifiedBy>張國強</cp:lastModifiedBy>
  <dcterms:modified xsi:type="dcterms:W3CDTF">2024-03-22T08:44:35Z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90C127D87DD34FA68FC597B07DB8E7E2_11</vt:lpwstr>
  </property>
</Properties>
</file>